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Pr="007C642F" w:rsidRDefault="00E17444" w:rsidP="007C642F">
      <w:pPr>
        <w:shd w:val="clear" w:color="auto" w:fill="FFFFFF"/>
        <w:spacing w:before="0" w:beforeAutospacing="0" w:after="0" w:afterAutospacing="0"/>
        <w:outlineLvl w:val="0"/>
        <w:rPr>
          <w:rFonts w:asciiTheme="minorHAnsi" w:hAnsiTheme="minorHAnsi" w:cs="Helvetica"/>
          <w:kern w:val="36"/>
          <w:sz w:val="22"/>
          <w:szCs w:val="22"/>
        </w:rPr>
      </w:pPr>
    </w:p>
    <w:p w:rsidR="007A7201" w:rsidRDefault="00EF127B" w:rsidP="003A129C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 w:rsidRPr="00EF127B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Wakacje składkowe – wniosek tylko do końca listopada</w:t>
      </w:r>
    </w:p>
    <w:p w:rsidR="00EF127B" w:rsidRPr="007A7201" w:rsidRDefault="00EF127B" w:rsidP="003A129C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</w:pPr>
    </w:p>
    <w:p w:rsidR="00EF127B" w:rsidRDefault="00EF127B" w:rsidP="003A129C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>Listopad to ostatni miesiąc, by zawnioskować o wakacje składkowe za 2025 r. Przedsiębiorca składając wniosek w tym miesiącu, może skorzystać z wakacji składkowych w grudniu tego roku. Do tej pory, od początku obowiązywania ulgi, w województwie wielkopolskim wpłynęło 260 tys. wniosków</w:t>
      </w:r>
      <w:r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 xml:space="preserve"> o wakacje składkowe</w:t>
      </w:r>
      <w:r w:rsidRPr="00EF127B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>, w całym kraju prawie 2,5 mln wniosków.</w:t>
      </w:r>
    </w:p>
    <w:p w:rsidR="00EF127B" w:rsidRDefault="00EF127B" w:rsidP="003A129C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</w:p>
    <w:p w:rsidR="007A7201" w:rsidRPr="003A129C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 xml:space="preserve">Od 1 listopada 2024 r. </w:t>
      </w:r>
      <w:proofErr w:type="spellStart"/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>mikroprzedsiębiorcy</w:t>
      </w:r>
      <w:proofErr w:type="spellEnd"/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 xml:space="preserve"> wpisani do rejestru Centralnej Ewidencji i Informacji o Działalności Gospodarczej (CEIDG) oraz komornicy sądowi </w:t>
      </w:r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>mogą raz w roku</w:t>
      </w:r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>,</w:t>
      </w:r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za wybrany miesiąc</w:t>
      </w:r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>,</w:t>
      </w:r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nie płacić za siebie składek na ubezpieczenia społeczne, Fundusz Pracy i Fundusz Solidarnościowy. </w:t>
      </w:r>
    </w:p>
    <w:p w:rsidR="007E5B4D" w:rsidRPr="007A7201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7E5B4D" w:rsidRPr="003A129C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i/>
          <w:color w:val="auto"/>
          <w:szCs w:val="24"/>
          <w:lang w:eastAsia="en-US"/>
        </w:rPr>
      </w:pP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>Jeśli prowadzący działalność</w:t>
      </w:r>
      <w:r w:rsidR="00EF127B">
        <w:rPr>
          <w:rFonts w:asciiTheme="minorHAnsi" w:eastAsiaTheme="minorHAnsi" w:hAnsiTheme="minorHAnsi"/>
          <w:i/>
          <w:color w:val="auto"/>
          <w:szCs w:val="24"/>
          <w:lang w:eastAsia="en-US"/>
        </w:rPr>
        <w:t>, nie wystąpił jeszcze o wakacje składkowe za 2025 r. i</w:t>
      </w: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 chce uzyskać zwolnienie za grudzień, to wniosek musi złożyć </w:t>
      </w:r>
      <w:r w:rsidR="00DA6336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jeszcze </w:t>
      </w: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>w listopadzie</w:t>
      </w:r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informuje Marlena Nowicka – rzeczniczka prasowa ZUS w Wielkopolsce - </w:t>
      </w: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Jeśli </w:t>
      </w:r>
      <w:r w:rsidR="00EF127B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wniosek </w:t>
      </w: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złoży w grudniu, to zwolnienie dotyczyć będzie </w:t>
      </w:r>
      <w:r w:rsidR="00EF127B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już </w:t>
      </w: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>stycznia 202</w:t>
      </w:r>
      <w:r w:rsidR="00EF127B">
        <w:rPr>
          <w:rFonts w:asciiTheme="minorHAnsi" w:eastAsiaTheme="minorHAnsi" w:hAnsiTheme="minorHAnsi"/>
          <w:i/>
          <w:color w:val="auto"/>
          <w:szCs w:val="24"/>
          <w:lang w:eastAsia="en-US"/>
        </w:rPr>
        <w:t>6</w:t>
      </w:r>
      <w:r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 r.</w:t>
      </w:r>
      <w:r w:rsidR="00EF127B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 i ulga za 2025 r. przepadnie.</w:t>
      </w:r>
    </w:p>
    <w:p w:rsidR="007E5B4D" w:rsidRPr="003A129C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7A7201" w:rsidRPr="007A7201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>Zwolnienie ze składek dotyczy</w:t>
      </w:r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osób wpisanych do rejestru CE</w:t>
      </w:r>
      <w:r w:rsidRPr="003A129C">
        <w:rPr>
          <w:rFonts w:asciiTheme="minorHAnsi" w:eastAsiaTheme="minorHAnsi" w:hAnsiTheme="minorHAnsi"/>
          <w:color w:val="auto"/>
          <w:szCs w:val="24"/>
          <w:lang w:eastAsia="en-US"/>
        </w:rPr>
        <w:t>ID</w:t>
      </w:r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G, które prowadzą jednoosobową działalność gospodarczą albo zatrudniają do 9 osób (tzw. </w:t>
      </w:r>
      <w:proofErr w:type="spellStart"/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>mikroprzedsiębiorców</w:t>
      </w:r>
      <w:proofErr w:type="spellEnd"/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>) oraz komorników sądowych, o ile spełniają warunki do skorzystania z wakacji składkowych. Chodzi m.in. o limit rocznego przychodu z 2023 lub 202</w:t>
      </w:r>
      <w:r w:rsidR="00EF127B">
        <w:rPr>
          <w:rFonts w:asciiTheme="minorHAnsi" w:eastAsiaTheme="minorHAnsi" w:hAnsiTheme="minorHAnsi"/>
          <w:color w:val="auto"/>
          <w:szCs w:val="24"/>
          <w:lang w:eastAsia="en-US"/>
        </w:rPr>
        <w:t>4</w:t>
      </w:r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roku do wysokości nieprzekraczającej równowartości w złotych 2 mln euro. Ponadto kwota pomocy publicznej otrzymanej w okresie 3 minionych lat nie może przekroczyć 300 tys. euro (pomoc de </w:t>
      </w:r>
      <w:proofErr w:type="spellStart"/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>minimis</w:t>
      </w:r>
      <w:proofErr w:type="spellEnd"/>
      <w:r w:rsidR="007A7201" w:rsidRPr="007A7201">
        <w:rPr>
          <w:rFonts w:asciiTheme="minorHAnsi" w:eastAsiaTheme="minorHAnsi" w:hAnsiTheme="minorHAnsi"/>
          <w:color w:val="auto"/>
          <w:szCs w:val="24"/>
          <w:lang w:eastAsia="en-US"/>
        </w:rPr>
        <w:t>).</w:t>
      </w:r>
    </w:p>
    <w:p w:rsidR="007A7201" w:rsidRPr="007A7201" w:rsidRDefault="007A7201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7A7201" w:rsidRPr="003A129C" w:rsidRDefault="007A7201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7A7201">
        <w:rPr>
          <w:rFonts w:asciiTheme="minorHAnsi" w:eastAsiaTheme="minorHAnsi" w:hAnsiTheme="minorHAnsi"/>
          <w:i/>
          <w:color w:val="auto"/>
          <w:szCs w:val="24"/>
          <w:lang w:eastAsia="en-US"/>
        </w:rPr>
        <w:t>Zwolnienie obejmuje składki od najniższej podstawy wymiaru, która obowiązuje osobę prowadzącą działalność. Ulga nie dotyczy składki zdrowotnej ani składek, które przedsiębiorca ma obowiązek opłacać za inne osoby, np. pracowników, zlece</w:t>
      </w:r>
      <w:r w:rsidR="007E5B4D" w:rsidRPr="003A129C">
        <w:rPr>
          <w:rFonts w:asciiTheme="minorHAnsi" w:eastAsiaTheme="minorHAnsi" w:hAnsiTheme="minorHAnsi"/>
          <w:i/>
          <w:color w:val="auto"/>
          <w:szCs w:val="24"/>
          <w:lang w:eastAsia="en-US"/>
        </w:rPr>
        <w:t>niobiorców czy współpracowników</w:t>
      </w:r>
      <w:r w:rsidR="007E5B4D" w:rsidRPr="003A129C"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dodaje Nowicka.</w:t>
      </w:r>
    </w:p>
    <w:p w:rsidR="007E5B4D" w:rsidRPr="003A129C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7E5B4D" w:rsidRPr="007A7201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Składki objęte zwolnieniem zostaną sfinansowane z budżetu państwa i będą wliczać się do przyszłej emerytury czy renty. Ulga ta stanowi pomoc de </w:t>
      </w:r>
      <w:proofErr w:type="spellStart"/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>minimis</w:t>
      </w:r>
      <w:proofErr w:type="spellEnd"/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, dlatego we wniosku przedsiębiorca </w:t>
      </w:r>
      <w:r w:rsidR="00A96837">
        <w:rPr>
          <w:rFonts w:asciiTheme="minorHAnsi" w:eastAsiaTheme="minorHAnsi" w:hAnsiTheme="minorHAnsi"/>
          <w:color w:val="auto"/>
          <w:szCs w:val="24"/>
          <w:lang w:eastAsia="en-US"/>
        </w:rPr>
        <w:t>musi podać</w:t>
      </w:r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informacje na temat innych form pomocy publicznej, z których korzystał.</w:t>
      </w:r>
    </w:p>
    <w:p w:rsidR="007E5B4D" w:rsidRPr="007A7201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7E5B4D" w:rsidRPr="007A7201" w:rsidRDefault="007E5B4D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Wniosek o wakacje składkowe (RWS) przedsiębiorca lub jego pełnomocnik </w:t>
      </w:r>
      <w:r w:rsidR="0003154A">
        <w:rPr>
          <w:rFonts w:asciiTheme="minorHAnsi" w:eastAsiaTheme="minorHAnsi" w:hAnsiTheme="minorHAnsi"/>
          <w:color w:val="auto"/>
          <w:szCs w:val="24"/>
          <w:lang w:eastAsia="en-US"/>
        </w:rPr>
        <w:t>składa</w:t>
      </w:r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elektronicznie na PUE/</w:t>
      </w:r>
      <w:proofErr w:type="spellStart"/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>eZUS</w:t>
      </w:r>
      <w:proofErr w:type="spellEnd"/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wyłącznie z konta płatnika</w:t>
      </w:r>
      <w:r w:rsidR="0003154A">
        <w:rPr>
          <w:rFonts w:asciiTheme="minorHAnsi" w:eastAsiaTheme="minorHAnsi" w:hAnsiTheme="minorHAnsi"/>
          <w:color w:val="auto"/>
          <w:szCs w:val="24"/>
          <w:lang w:eastAsia="en-US"/>
        </w:rPr>
        <w:t>,</w:t>
      </w:r>
      <w:r w:rsidRPr="007A7201">
        <w:rPr>
          <w:rFonts w:asciiTheme="minorHAnsi" w:eastAsiaTheme="minorHAnsi" w:hAnsiTheme="minorHAnsi"/>
          <w:color w:val="auto"/>
          <w:szCs w:val="24"/>
          <w:lang w:eastAsia="en-US"/>
        </w:rPr>
        <w:t xml:space="preserve"> na miesiąc przed wybranym miesiącem zwolnienia. </w:t>
      </w:r>
    </w:p>
    <w:p w:rsidR="007A7201" w:rsidRDefault="007A7201" w:rsidP="003A129C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b/>
          <w:color w:val="auto"/>
          <w:szCs w:val="24"/>
          <w:lang w:eastAsia="en-US"/>
        </w:rPr>
        <w:t>Warunki uzyskania wakacji składkowych</w:t>
      </w: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 xml:space="preserve">Zwolnienie skierowane 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 xml:space="preserve">jest 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 xml:space="preserve">do </w:t>
      </w:r>
      <w:proofErr w:type="spellStart"/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mikroprzedsiębiorców</w:t>
      </w:r>
      <w:proofErr w:type="spellEnd"/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 xml:space="preserve"> którzy:</w:t>
      </w: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lastRenderedPageBreak/>
        <w:t>•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ab/>
        <w:t>podlegali choć jeden dzień ubezpieczeniom emerytalnemu, rentowym i wypadkowemu z tytułu prowadzenia działalności gospodarczej w miesiącu poprzedzającym miesiąc, w którym składają wniosek,</w:t>
      </w: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•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ab/>
        <w:t>w miesiącu poprzedzającym miesiąc złożenia wniosku mieli zgłoszonych do ubezpieczeń emerytalnego, rentowych i wypadkowego lub ubezpieczenia zdrowotnego maksymalnie dziesięciu ubezpieczonych (w tym siebie),</w:t>
      </w: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•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ab/>
        <w:t>w ostatnich dwóch latach przed rokiem, w którym składają wniosek, nie mieli przychodu z pozarolniczej działalności gospodarczej lub co najmniej w jednym roku z dwóch ostatnich lat poprzedzających ten rok ich roczny przychód z tej działalności nie przekraczał równowartości w złotych 2 milionów euro.</w:t>
      </w: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•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ab/>
        <w:t xml:space="preserve">jako ubezpieczeni w poprzednim roku oraz w roku, w którym składają wniosek (do dnia złożenia wniosku), nie wykonywali pozarolniczej działalności gospodarczej na rzecz byłego pracodawcy, </w:t>
      </w:r>
    </w:p>
    <w:p w:rsidR="00EF127B" w:rsidRP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•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ab/>
        <w:t>w przypadku dobrowolnego ubezpieczenia chorobowego podlegali (choć jeden dzień) temu ubezpieczeniu w miesiącu złożenia wniosku oraz w miesiącu go poprzedzającym,</w:t>
      </w:r>
    </w:p>
    <w:p w:rsidR="00EF127B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•</w:t>
      </w:r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ab/>
        <w:t xml:space="preserve">dysponują limitem pomocy de </w:t>
      </w:r>
      <w:proofErr w:type="spellStart"/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minimis</w:t>
      </w:r>
      <w:proofErr w:type="spellEnd"/>
      <w:r w:rsidRPr="00EF127B">
        <w:rPr>
          <w:rFonts w:asciiTheme="minorHAnsi" w:eastAsiaTheme="minorHAnsi" w:hAnsiTheme="minorHAnsi"/>
          <w:color w:val="auto"/>
          <w:szCs w:val="24"/>
          <w:lang w:eastAsia="en-US"/>
        </w:rPr>
        <w:t>, co najmniej w wysokości sumy obowiązujących ich we wskazanym miesiącu kalendarzowym składek na ubezpieczenia społeczne, z których chcą uzyskać zwolnienie.</w:t>
      </w:r>
    </w:p>
    <w:p w:rsidR="00EF127B" w:rsidRPr="007A7201" w:rsidRDefault="00EF127B" w:rsidP="00EF127B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3A129C" w:rsidRDefault="007E5B4D" w:rsidP="00EF127B">
      <w:pPr>
        <w:spacing w:before="0" w:beforeAutospacing="0" w:after="0" w:afterAutospacing="0"/>
        <w:rPr>
          <w:rFonts w:asciiTheme="minorHAnsi" w:eastAsiaTheme="minorHAnsi" w:hAnsiTheme="minorHAnsi"/>
          <w:i/>
          <w:color w:val="auto"/>
          <w:szCs w:val="24"/>
          <w:u w:val="single"/>
          <w:lang w:eastAsia="en-US"/>
        </w:rPr>
      </w:pPr>
      <w:r w:rsidRPr="003A129C">
        <w:rPr>
          <w:rFonts w:asciiTheme="minorHAnsi" w:eastAsiaTheme="minorHAnsi" w:hAnsiTheme="minorHAnsi"/>
          <w:i/>
          <w:color w:val="auto"/>
          <w:szCs w:val="24"/>
          <w:u w:val="single"/>
          <w:lang w:eastAsia="en-US"/>
        </w:rPr>
        <w:t>W przypadku dodatkowych pytań ze strony przedsiębiorców, zachęcamy do korzystania z e-wizyt w ZUS lub umawiania wizyty w najbliższej placów</w:t>
      </w:r>
      <w:r w:rsidR="00EF127B">
        <w:rPr>
          <w:rFonts w:asciiTheme="minorHAnsi" w:eastAsiaTheme="minorHAnsi" w:hAnsiTheme="minorHAnsi"/>
          <w:i/>
          <w:color w:val="auto"/>
          <w:szCs w:val="24"/>
          <w:u w:val="single"/>
          <w:lang w:eastAsia="en-US"/>
        </w:rPr>
        <w:t>ce na konkretny dzień i godzinę.</w:t>
      </w:r>
    </w:p>
    <w:p w:rsidR="0022351D" w:rsidRDefault="0022351D" w:rsidP="00EF127B">
      <w:pPr>
        <w:spacing w:before="0" w:beforeAutospacing="0" w:after="0" w:afterAutospacing="0"/>
        <w:rPr>
          <w:rFonts w:asciiTheme="minorHAnsi" w:eastAsiaTheme="minorHAnsi" w:hAnsiTheme="minorHAnsi"/>
          <w:i/>
          <w:color w:val="auto"/>
          <w:szCs w:val="24"/>
          <w:u w:val="single"/>
          <w:lang w:eastAsia="en-US"/>
        </w:rPr>
      </w:pPr>
    </w:p>
    <w:p w:rsidR="0022351D" w:rsidRDefault="0022351D" w:rsidP="00EF127B">
      <w:pPr>
        <w:spacing w:before="0" w:beforeAutospacing="0" w:after="0" w:afterAutospacing="0"/>
        <w:rPr>
          <w:rFonts w:asciiTheme="minorHAnsi" w:eastAsiaTheme="minorHAnsi" w:hAnsiTheme="minorHAnsi"/>
          <w:i/>
          <w:color w:val="auto"/>
          <w:szCs w:val="24"/>
          <w:u w:val="single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4"/>
        <w:gridCol w:w="1835"/>
        <w:gridCol w:w="1835"/>
        <w:gridCol w:w="1835"/>
        <w:gridCol w:w="1835"/>
      </w:tblGrid>
      <w:tr w:rsidR="0022351D" w:rsidTr="0022351D">
        <w:tc>
          <w:tcPr>
            <w:tcW w:w="1000" w:type="pct"/>
          </w:tcPr>
          <w:p w:rsidR="0022351D" w:rsidRPr="00FA43B9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</w:pPr>
            <w:r w:rsidRPr="00FA43B9"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  <w:t>I Oddział w Poznaniu</w:t>
            </w:r>
          </w:p>
        </w:tc>
        <w:tc>
          <w:tcPr>
            <w:tcW w:w="1000" w:type="pct"/>
          </w:tcPr>
          <w:p w:rsidR="0022351D" w:rsidRPr="00FA43B9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</w:pPr>
            <w:r w:rsidRPr="00FA43B9"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  <w:t>II Oddział w Poznaniu</w:t>
            </w:r>
          </w:p>
        </w:tc>
        <w:tc>
          <w:tcPr>
            <w:tcW w:w="1000" w:type="pct"/>
          </w:tcPr>
          <w:p w:rsidR="0022351D" w:rsidRPr="00FA43B9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</w:pPr>
            <w:r w:rsidRPr="00FA43B9"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  <w:t>Oddział w Ostrowie Wlkp.</w:t>
            </w:r>
          </w:p>
        </w:tc>
        <w:tc>
          <w:tcPr>
            <w:tcW w:w="1000" w:type="pct"/>
          </w:tcPr>
          <w:p w:rsidR="0022351D" w:rsidRPr="00FA43B9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</w:pPr>
            <w:r w:rsidRPr="00FA43B9"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  <w:t>Oddział w Pile</w:t>
            </w:r>
          </w:p>
        </w:tc>
        <w:tc>
          <w:tcPr>
            <w:tcW w:w="1000" w:type="pct"/>
          </w:tcPr>
          <w:p w:rsidR="0022351D" w:rsidRPr="00FA43B9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</w:pPr>
            <w:r w:rsidRPr="00FA43B9">
              <w:rPr>
                <w:rFonts w:asciiTheme="minorHAnsi" w:eastAsiaTheme="minorHAnsi" w:hAnsiTheme="minorHAnsi"/>
                <w:b/>
                <w:color w:val="auto"/>
                <w:sz w:val="18"/>
                <w:szCs w:val="18"/>
                <w:lang w:eastAsia="en-US"/>
              </w:rPr>
              <w:t>Łącznie</w:t>
            </w:r>
          </w:p>
        </w:tc>
      </w:tr>
      <w:tr w:rsidR="0022351D" w:rsidTr="0022351D">
        <w:tc>
          <w:tcPr>
            <w:tcW w:w="1000" w:type="pct"/>
          </w:tcPr>
          <w:p w:rsidR="0022351D" w:rsidRPr="0022351D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</w:pP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85</w:t>
            </w:r>
            <w:r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.</w:t>
            </w: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549</w:t>
            </w:r>
          </w:p>
        </w:tc>
        <w:tc>
          <w:tcPr>
            <w:tcW w:w="1000" w:type="pct"/>
          </w:tcPr>
          <w:p w:rsidR="0022351D" w:rsidRPr="0022351D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</w:pP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78</w:t>
            </w:r>
            <w:r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.</w:t>
            </w: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230</w:t>
            </w:r>
          </w:p>
        </w:tc>
        <w:tc>
          <w:tcPr>
            <w:tcW w:w="1000" w:type="pct"/>
          </w:tcPr>
          <w:p w:rsidR="0022351D" w:rsidRPr="0022351D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</w:pP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71</w:t>
            </w:r>
            <w:r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.</w:t>
            </w: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972</w:t>
            </w:r>
          </w:p>
        </w:tc>
        <w:tc>
          <w:tcPr>
            <w:tcW w:w="1000" w:type="pct"/>
          </w:tcPr>
          <w:p w:rsidR="0022351D" w:rsidRPr="0022351D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</w:pP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23</w:t>
            </w:r>
            <w:r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.</w:t>
            </w:r>
            <w:r w:rsidRPr="0022351D"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940</w:t>
            </w:r>
          </w:p>
        </w:tc>
        <w:tc>
          <w:tcPr>
            <w:tcW w:w="1000" w:type="pct"/>
          </w:tcPr>
          <w:p w:rsidR="0022351D" w:rsidRPr="0022351D" w:rsidRDefault="0022351D" w:rsidP="00EF127B">
            <w:pPr>
              <w:spacing w:before="0" w:beforeAutospacing="0" w:after="0" w:afterAutospacing="0"/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color w:val="auto"/>
                <w:szCs w:val="24"/>
                <w:lang w:eastAsia="en-US"/>
              </w:rPr>
              <w:t>259.691</w:t>
            </w:r>
          </w:p>
        </w:tc>
      </w:tr>
    </w:tbl>
    <w:p w:rsidR="0022351D" w:rsidRPr="00EF127B" w:rsidRDefault="0022351D" w:rsidP="00EF127B">
      <w:pPr>
        <w:spacing w:before="0" w:beforeAutospacing="0" w:after="0" w:afterAutospacing="0"/>
        <w:rPr>
          <w:rFonts w:asciiTheme="minorHAnsi" w:eastAsiaTheme="minorHAnsi" w:hAnsiTheme="minorHAnsi"/>
          <w:i/>
          <w:color w:val="auto"/>
          <w:szCs w:val="24"/>
          <w:u w:val="single"/>
          <w:lang w:eastAsia="en-US"/>
        </w:rPr>
      </w:pPr>
      <w:bookmarkStart w:id="0" w:name="_GoBack"/>
      <w:bookmarkEnd w:id="0"/>
    </w:p>
    <w:sectPr w:rsidR="0022351D" w:rsidRPr="00EF127B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3D" w:rsidRDefault="003E273D">
      <w:pPr>
        <w:spacing w:before="0" w:after="0"/>
      </w:pPr>
      <w:r>
        <w:separator/>
      </w:r>
    </w:p>
  </w:endnote>
  <w:endnote w:type="continuationSeparator" w:id="0">
    <w:p w:rsidR="003E273D" w:rsidRDefault="003E27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FA43B9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FA43B9" w:rsidRPr="00FA43B9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3D" w:rsidRDefault="003E273D">
      <w:pPr>
        <w:spacing w:before="0" w:after="0"/>
      </w:pPr>
      <w:r>
        <w:separator/>
      </w:r>
    </w:p>
  </w:footnote>
  <w:footnote w:type="continuationSeparator" w:id="0">
    <w:p w:rsidR="003E273D" w:rsidRDefault="003E27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7D4"/>
    <w:multiLevelType w:val="multilevel"/>
    <w:tmpl w:val="C84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6189A"/>
    <w:multiLevelType w:val="hybridMultilevel"/>
    <w:tmpl w:val="FEBA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E544E"/>
    <w:multiLevelType w:val="multilevel"/>
    <w:tmpl w:val="E25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CD5927"/>
    <w:multiLevelType w:val="hybridMultilevel"/>
    <w:tmpl w:val="C218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09A6"/>
    <w:multiLevelType w:val="multilevel"/>
    <w:tmpl w:val="8C64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057BF"/>
    <w:rsid w:val="0003154A"/>
    <w:rsid w:val="0003733C"/>
    <w:rsid w:val="00063943"/>
    <w:rsid w:val="000675D1"/>
    <w:rsid w:val="000809AD"/>
    <w:rsid w:val="000D7B93"/>
    <w:rsid w:val="000E2A9E"/>
    <w:rsid w:val="001153EB"/>
    <w:rsid w:val="00151F89"/>
    <w:rsid w:val="001554E1"/>
    <w:rsid w:val="00185BFD"/>
    <w:rsid w:val="001A6097"/>
    <w:rsid w:val="00204846"/>
    <w:rsid w:val="0022351D"/>
    <w:rsid w:val="0026162A"/>
    <w:rsid w:val="00274BED"/>
    <w:rsid w:val="00286D95"/>
    <w:rsid w:val="002C0883"/>
    <w:rsid w:val="002C2B21"/>
    <w:rsid w:val="002F0C7F"/>
    <w:rsid w:val="0030636D"/>
    <w:rsid w:val="00374BC5"/>
    <w:rsid w:val="003A129C"/>
    <w:rsid w:val="003D3155"/>
    <w:rsid w:val="003D799C"/>
    <w:rsid w:val="003E273D"/>
    <w:rsid w:val="003F69E0"/>
    <w:rsid w:val="0046767C"/>
    <w:rsid w:val="00496F48"/>
    <w:rsid w:val="004A5E03"/>
    <w:rsid w:val="004B1F76"/>
    <w:rsid w:val="00506E77"/>
    <w:rsid w:val="00592CB3"/>
    <w:rsid w:val="00595BDC"/>
    <w:rsid w:val="005A542F"/>
    <w:rsid w:val="005E3DE3"/>
    <w:rsid w:val="005E57B0"/>
    <w:rsid w:val="005E683D"/>
    <w:rsid w:val="005F1081"/>
    <w:rsid w:val="005F7C0D"/>
    <w:rsid w:val="00604F06"/>
    <w:rsid w:val="00612656"/>
    <w:rsid w:val="0063152A"/>
    <w:rsid w:val="00637029"/>
    <w:rsid w:val="006C0EFF"/>
    <w:rsid w:val="006E4CF3"/>
    <w:rsid w:val="00712BCC"/>
    <w:rsid w:val="00725AF5"/>
    <w:rsid w:val="007A6BEE"/>
    <w:rsid w:val="007A7201"/>
    <w:rsid w:val="007C36C6"/>
    <w:rsid w:val="007C642F"/>
    <w:rsid w:val="007E5B4D"/>
    <w:rsid w:val="007F5C41"/>
    <w:rsid w:val="008002C0"/>
    <w:rsid w:val="00810DDD"/>
    <w:rsid w:val="00824559"/>
    <w:rsid w:val="0083665B"/>
    <w:rsid w:val="00841560"/>
    <w:rsid w:val="00847040"/>
    <w:rsid w:val="008F564F"/>
    <w:rsid w:val="0091680F"/>
    <w:rsid w:val="0096435C"/>
    <w:rsid w:val="0099205E"/>
    <w:rsid w:val="009B0A64"/>
    <w:rsid w:val="009B1451"/>
    <w:rsid w:val="009C7269"/>
    <w:rsid w:val="009F21B1"/>
    <w:rsid w:val="009F4D40"/>
    <w:rsid w:val="00A400F3"/>
    <w:rsid w:val="00A824C3"/>
    <w:rsid w:val="00A93999"/>
    <w:rsid w:val="00A96837"/>
    <w:rsid w:val="00AA1F4F"/>
    <w:rsid w:val="00AD7739"/>
    <w:rsid w:val="00B1702D"/>
    <w:rsid w:val="00B2109E"/>
    <w:rsid w:val="00B27706"/>
    <w:rsid w:val="00B316E3"/>
    <w:rsid w:val="00BD516C"/>
    <w:rsid w:val="00C0484C"/>
    <w:rsid w:val="00C143E6"/>
    <w:rsid w:val="00C421DB"/>
    <w:rsid w:val="00C614A2"/>
    <w:rsid w:val="00CA5BB6"/>
    <w:rsid w:val="00CC79C7"/>
    <w:rsid w:val="00D36A83"/>
    <w:rsid w:val="00D6440C"/>
    <w:rsid w:val="00D6582B"/>
    <w:rsid w:val="00D857BF"/>
    <w:rsid w:val="00D978C4"/>
    <w:rsid w:val="00DA6336"/>
    <w:rsid w:val="00DD39F2"/>
    <w:rsid w:val="00DD5656"/>
    <w:rsid w:val="00DF5B90"/>
    <w:rsid w:val="00E06176"/>
    <w:rsid w:val="00E17444"/>
    <w:rsid w:val="00E224B5"/>
    <w:rsid w:val="00E731DE"/>
    <w:rsid w:val="00E94112"/>
    <w:rsid w:val="00EB0B1D"/>
    <w:rsid w:val="00ED579A"/>
    <w:rsid w:val="00EF127B"/>
    <w:rsid w:val="00EF3EAE"/>
    <w:rsid w:val="00F00D7C"/>
    <w:rsid w:val="00F74398"/>
    <w:rsid w:val="00FA43B9"/>
    <w:rsid w:val="00FE1E5F"/>
    <w:rsid w:val="00FF25DC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525941183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1351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2023-04-03T07:00:00Z</cp:lastPrinted>
  <dcterms:created xsi:type="dcterms:W3CDTF">2025-11-12T09:51:00Z</dcterms:created>
  <dcterms:modified xsi:type="dcterms:W3CDTF">2025-11-12T09:56:00Z</dcterms:modified>
</cp:coreProperties>
</file>